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rPr>
          <w:b/>
          <w:i/>
        </w:rPr>
      </w:pPr>
      <w:r>
        <w:rPr>
          <w:b/>
          <w:i/>
          <w:highlight w:val="yellow"/>
        </w:rPr>
        <w:t>[Disclaimer: This document is intended to serve as a starting point only. It should be car</w:t>
      </w:r>
      <w:bookmarkStart w:id="0" w:name="_GoBack"/>
      <w:bookmarkEnd w:id="0"/>
      <w:r>
        <w:rPr>
          <w:b/>
          <w:i/>
          <w:highlight w:val="yellow"/>
        </w:rPr>
        <w:t>efully considered and tailored to meet your specific commercial requirements and circumstances. This document, and any guidance note within this document, must not be relied on as legal advice and we recommend that you seek professional legal advice to ensure that this document is suitable for your specific situation.]</w:t>
      </w:r>
    </w:p>
    <w:p>
      <w:pPr>
        <w:rPr>
          <w:b/>
          <w:sz w:val="44"/>
          <w:szCs w:val="44"/>
        </w:rPr>
      </w:pPr>
    </w:p>
    <w:p>
      <w:pPr>
        <w:rPr>
          <w:b/>
          <w:sz w:val="44"/>
          <w:szCs w:val="44"/>
        </w:rPr>
      </w:pPr>
      <w:r>
        <w:rPr>
          <w:b/>
          <w:sz w:val="44"/>
          <w:szCs w:val="44"/>
        </w:rPr>
        <w:br w:type="page"/>
      </w:r>
    </w:p>
    <w:p>
      <w:pPr>
        <w:spacing w:after="0"/>
        <w:rPr>
          <w:b/>
          <w:sz w:val="32"/>
          <w:szCs w:val="32"/>
        </w:rPr>
      </w:pPr>
      <w:r>
        <w:rPr>
          <w:b/>
          <w:sz w:val="32"/>
          <w:szCs w:val="32"/>
        </w:rPr>
        <w:lastRenderedPageBreak/>
        <w:t>SAFE Side Letter</w:t>
      </w:r>
      <w:r>
        <w:rPr>
          <w:rStyle w:val="FootnoteReference"/>
          <w:b/>
          <w:sz w:val="32"/>
          <w:szCs w:val="32"/>
        </w:rPr>
        <w:footnoteReference w:id="2"/>
      </w:r>
      <w:r>
        <w:rPr>
          <w:rStyle w:val="FootnoteReference"/>
          <w:b/>
          <w:sz w:val="32"/>
          <w:szCs w:val="32"/>
        </w:rPr>
        <w:footnoteReference w:id="3"/>
      </w:r>
    </w:p>
    <w:p>
      <w:pPr>
        <w:spacing w:after="0"/>
        <w:rPr>
          <w:b/>
          <w:sz w:val="44"/>
          <w:szCs w:val="44"/>
        </w:rPr>
      </w:pPr>
    </w:p>
    <w:p>
      <w:pPr>
        <w:spacing w:after="0"/>
        <w:jc w:val="left"/>
      </w:pPr>
      <w:r>
        <w:rPr>
          <w:highlight w:val="yellow"/>
        </w:rPr>
        <w:t>[Investor Name]</w:t>
      </w:r>
    </w:p>
    <w:p>
      <w:pPr>
        <w:spacing w:after="0"/>
        <w:jc w:val="left"/>
      </w:pPr>
      <w:r>
        <w:rPr>
          <w:highlight w:val="yellow"/>
        </w:rPr>
        <w:t>[Investor Address]</w:t>
      </w:r>
    </w:p>
    <w:p>
      <w:pPr>
        <w:spacing w:after="0"/>
        <w:jc w:val="left"/>
      </w:pPr>
    </w:p>
    <w:p>
      <w:pPr>
        <w:jc w:val="right"/>
      </w:pPr>
      <w:r>
        <w:rPr>
          <w:highlight w:val="yellow"/>
        </w:rPr>
        <w:t>[</w:t>
      </w:r>
      <w:proofErr w:type="gramStart"/>
      <w:r>
        <w:rPr>
          <w:highlight w:val="yellow"/>
        </w:rPr>
        <w:t>insert</w:t>
      </w:r>
      <w:proofErr w:type="gramEnd"/>
      <w:r>
        <w:rPr>
          <w:highlight w:val="yellow"/>
        </w:rPr>
        <w:t xml:space="preserve"> date]</w:t>
      </w:r>
    </w:p>
    <w:p>
      <w:r>
        <w:t>Dear Sir / Madam</w:t>
      </w:r>
    </w:p>
    <w:p>
      <w:pPr>
        <w:rPr>
          <w:b/>
        </w:rPr>
      </w:pPr>
      <w:r>
        <w:rPr>
          <w:b/>
        </w:rPr>
        <w:t xml:space="preserve">Side Letter </w:t>
      </w:r>
    </w:p>
    <w:p>
      <w:pPr>
        <w:spacing w:after="0"/>
      </w:pPr>
      <w:r>
        <w:t>In consideration of the agreement by</w:t>
      </w:r>
      <w:r>
        <w:rPr>
          <w:rFonts w:cs="Arial"/>
        </w:rPr>
        <w:t> </w:t>
      </w:r>
      <w:r>
        <w:rPr>
          <w:rFonts w:cs="Arial"/>
          <w:highlight w:val="yellow"/>
        </w:rPr>
        <w:t>[Investor]</w:t>
      </w:r>
      <w:r>
        <w:rPr>
          <w:rFonts w:cs="Arial"/>
        </w:rPr>
        <w:t xml:space="preserve"> (</w:t>
      </w:r>
      <w:r>
        <w:rPr>
          <w:rFonts w:cs="Arial"/>
          <w:b/>
        </w:rPr>
        <w:t>Investor</w:t>
      </w:r>
      <w:r>
        <w:rPr>
          <w:rFonts w:cs="Arial"/>
        </w:rPr>
        <w:t>)</w:t>
      </w:r>
      <w:r>
        <w:t xml:space="preserve"> to enter into a simple agreement for future equity (</w:t>
      </w:r>
      <w:r>
        <w:rPr>
          <w:b/>
        </w:rPr>
        <w:t>Investor SAFE</w:t>
      </w:r>
      <w:r>
        <w:t xml:space="preserve">) with </w:t>
      </w:r>
      <w:r>
        <w:rPr>
          <w:highlight w:val="yellow"/>
        </w:rPr>
        <w:t>[Company name]</w:t>
      </w:r>
      <w:r>
        <w:t xml:space="preserve"> (</w:t>
      </w:r>
      <w:proofErr w:type="spellStart"/>
      <w:r>
        <w:t>ACN</w:t>
      </w:r>
      <w:proofErr w:type="spellEnd"/>
      <w:r>
        <w:t xml:space="preserve"> </w:t>
      </w:r>
      <w:r>
        <w:rPr>
          <w:highlight w:val="yellow"/>
        </w:rPr>
        <w:t>[insert]</w:t>
      </w:r>
      <w:r>
        <w:t>) (</w:t>
      </w:r>
      <w:r>
        <w:rPr>
          <w:b/>
        </w:rPr>
        <w:t>Company</w:t>
      </w:r>
      <w:r>
        <w:t xml:space="preserve">) on or around the date of this letter, the Company agrees to the terms set out in this letter. </w:t>
      </w:r>
    </w:p>
    <w:p>
      <w:pPr>
        <w:spacing w:after="0"/>
        <w:jc w:val="left"/>
      </w:pPr>
    </w:p>
    <w:p>
      <w:pPr>
        <w:pStyle w:val="bodytext2"/>
        <w:ind w:left="0"/>
        <w:jc w:val="left"/>
      </w:pPr>
      <w:r>
        <w:t>Unless the context otherwise requires, capitalised terms in this letter have the meaning given in the Investor SAFE.</w:t>
      </w:r>
    </w:p>
    <w:p>
      <w:pPr>
        <w:pStyle w:val="numpara1"/>
        <w:rPr>
          <w:b/>
        </w:rPr>
      </w:pPr>
      <w:bookmarkStart w:id="1" w:name="_Ref121493586"/>
      <w:r>
        <w:rPr>
          <w:b/>
        </w:rPr>
        <w:t xml:space="preserve">Most Favoured Nation </w:t>
      </w:r>
    </w:p>
    <w:p>
      <w:pPr>
        <w:pStyle w:val="numpara3"/>
      </w:pPr>
      <w:r>
        <w:t xml:space="preserve">The Company represents to the Investor that the Company has not entered into a SAFE (or similar agreement) with any person in relation to the current round of fundraising on terms more favourable (individually or when taken as a whole) than those set out in the Investor SAFE. </w:t>
      </w:r>
    </w:p>
    <w:p>
      <w:pPr>
        <w:pStyle w:val="numpara3"/>
      </w:pPr>
      <w:r>
        <w:t>The Company agrees that if it enters into a SAFE (or similar agreement) with any person on terms more favourable (individually or when taken as a whole) than those set out in the Investor SAFE (including, but not limited to, in respect of the Valuation Cap or Discount), it will:</w:t>
      </w:r>
    </w:p>
    <w:p>
      <w:pPr>
        <w:pStyle w:val="numpara4"/>
      </w:pPr>
      <w:r>
        <w:t xml:space="preserve">notify the Investor without undue delay of the terms of such SAFE (or similar agreement); and </w:t>
      </w:r>
    </w:p>
    <w:p>
      <w:pPr>
        <w:pStyle w:val="numpara4"/>
      </w:pPr>
      <w:proofErr w:type="gramStart"/>
      <w:r>
        <w:t>at</w:t>
      </w:r>
      <w:proofErr w:type="gramEnd"/>
      <w:r>
        <w:t xml:space="preserve"> the request of the Investor amend the Investor SAFE so as to provide the Investor with such more favourable terms.</w:t>
      </w:r>
    </w:p>
    <w:bookmarkEnd w:id="1"/>
    <w:p>
      <w:pPr>
        <w:pStyle w:val="numpara1"/>
        <w:rPr>
          <w:b/>
        </w:rPr>
      </w:pPr>
      <w:r>
        <w:rPr>
          <w:b/>
          <w:lang w:val="en-US"/>
        </w:rPr>
        <w:t>Pre-emption</w:t>
      </w:r>
      <w:r>
        <w:rPr>
          <w:b/>
        </w:rPr>
        <w:t xml:space="preserve"> rights</w:t>
      </w:r>
    </w:p>
    <w:p>
      <w:pPr>
        <w:pStyle w:val="numpara2"/>
      </w:pPr>
      <w:bookmarkStart w:id="2" w:name="_Ref143270878"/>
      <w:r>
        <w:t xml:space="preserve">Subject to paragraph </w:t>
      </w:r>
      <w:r>
        <w:fldChar w:fldCharType="begin"/>
      </w:r>
      <w:r>
        <w:instrText xml:space="preserve"> REF _Ref143270883 \r \h </w:instrText>
      </w:r>
      <w:r>
        <w:fldChar w:fldCharType="separate"/>
      </w:r>
      <w:r>
        <w:t>2.5</w:t>
      </w:r>
      <w:r>
        <w:fldChar w:fldCharType="end"/>
      </w:r>
      <w:r>
        <w:t xml:space="preserve">, the Company agrees to provide the Investor with a right to purchase its Pro Rata Share (as defined below) of the </w:t>
      </w:r>
      <w:proofErr w:type="spellStart"/>
      <w:r>
        <w:t>QF</w:t>
      </w:r>
      <w:proofErr w:type="spellEnd"/>
      <w:r>
        <w:t xml:space="preserve"> Shares being sold in any Qualifying Financing.</w:t>
      </w:r>
      <w:bookmarkEnd w:id="2"/>
      <w:r>
        <w:t xml:space="preserve"> </w:t>
      </w:r>
    </w:p>
    <w:p>
      <w:pPr>
        <w:pStyle w:val="numpara2"/>
      </w:pPr>
      <w:r>
        <w:t xml:space="preserve">For the purposes of this letter: </w:t>
      </w:r>
    </w:p>
    <w:p>
      <w:pPr>
        <w:pStyle w:val="Heading3"/>
        <w:numPr>
          <w:ilvl w:val="0"/>
          <w:numId w:val="0"/>
        </w:numPr>
        <w:ind w:left="1360"/>
      </w:pPr>
      <w:r>
        <w:rPr>
          <w:b/>
        </w:rPr>
        <w:lastRenderedPageBreak/>
        <w:t>Pro Rata Share</w:t>
      </w:r>
      <w:r>
        <w:t xml:space="preserve"> means the ratio of (i) the number of </w:t>
      </w:r>
      <w:proofErr w:type="spellStart"/>
      <w:r>
        <w:t>QF</w:t>
      </w:r>
      <w:proofErr w:type="spellEnd"/>
      <w:r>
        <w:t xml:space="preserve"> Shares to be issued on the conversion of the Investor SAFE to (ii) the Company Capitalisation.  </w:t>
      </w:r>
    </w:p>
    <w:p>
      <w:pPr>
        <w:pStyle w:val="numpara2"/>
      </w:pPr>
      <w:r>
        <w:t xml:space="preserve">The Company must notify the Investor in writing as soon as reasonably practicable (and in any event no later than 15 Business Days prior to the Company's entry into definitive documents in relation to any Qualifying Financing) of its entitlement to purchase </w:t>
      </w:r>
      <w:proofErr w:type="spellStart"/>
      <w:r>
        <w:t>QF</w:t>
      </w:r>
      <w:proofErr w:type="spellEnd"/>
      <w:r>
        <w:t xml:space="preserve"> Shares, specifying: </w:t>
      </w:r>
    </w:p>
    <w:p>
      <w:pPr>
        <w:pStyle w:val="numpara3"/>
      </w:pPr>
      <w:r>
        <w:t xml:space="preserve">the number, price and class of the </w:t>
      </w:r>
      <w:proofErr w:type="spellStart"/>
      <w:r>
        <w:t>QF</w:t>
      </w:r>
      <w:proofErr w:type="spellEnd"/>
      <w:r>
        <w:t xml:space="preserve"> Shares and the terms on which they are offered (which must be no less favourable to the Investor than the terms offered to other investors participating in the Qualifying Financing);</w:t>
      </w:r>
    </w:p>
    <w:p>
      <w:pPr>
        <w:pStyle w:val="numpara3"/>
      </w:pPr>
      <w:r>
        <w:t>the Investor's Pro Rata Share (together with details of the calculation thereof);</w:t>
      </w:r>
    </w:p>
    <w:p>
      <w:pPr>
        <w:pStyle w:val="numpara3"/>
      </w:pPr>
      <w:r>
        <w:t xml:space="preserve">the time and place for completion; and </w:t>
      </w:r>
    </w:p>
    <w:p>
      <w:pPr>
        <w:pStyle w:val="numpara3"/>
      </w:pPr>
      <w:bookmarkStart w:id="3" w:name="_Ref129957027"/>
      <w:proofErr w:type="gramStart"/>
      <w:r>
        <w:t>the</w:t>
      </w:r>
      <w:proofErr w:type="gramEnd"/>
      <w:r>
        <w:t xml:space="preserve"> date (being not less than 10 Business Days after the date of the notice) by which the Investor must notify the Company if it wishes to purchase its entitlement or some lesser number of </w:t>
      </w:r>
      <w:proofErr w:type="spellStart"/>
      <w:r>
        <w:t>QF</w:t>
      </w:r>
      <w:proofErr w:type="spellEnd"/>
      <w:r>
        <w:t xml:space="preserve"> Shares.</w:t>
      </w:r>
      <w:bookmarkEnd w:id="3"/>
    </w:p>
    <w:p>
      <w:pPr>
        <w:pStyle w:val="numpara2"/>
      </w:pPr>
      <w:r>
        <w:t xml:space="preserve">If the Investor does not notify the Company by the date set out in paragraph </w:t>
      </w:r>
      <w:r>
        <w:fldChar w:fldCharType="begin"/>
      </w:r>
      <w:r>
        <w:instrText xml:space="preserve"> REF _Ref129957027 \w \h </w:instrText>
      </w:r>
      <w:r>
        <w:fldChar w:fldCharType="separate"/>
      </w:r>
      <w:r>
        <w:t>2.3(d)</w:t>
      </w:r>
      <w:r>
        <w:fldChar w:fldCharType="end"/>
      </w:r>
      <w:r>
        <w:t xml:space="preserve"> of its intention to purchase some or all of its entitlement, the Investor will be deemed to have waived its rights under paragraph </w:t>
      </w:r>
      <w:r>
        <w:fldChar w:fldCharType="begin"/>
      </w:r>
      <w:r>
        <w:instrText xml:space="preserve"> REF _Ref143270878 \r \h </w:instrText>
      </w:r>
      <w:r>
        <w:fldChar w:fldCharType="separate"/>
      </w:r>
      <w:r>
        <w:t>2.1</w:t>
      </w:r>
      <w:r>
        <w:fldChar w:fldCharType="end"/>
      </w:r>
      <w:r>
        <w:t>.</w:t>
      </w:r>
    </w:p>
    <w:p>
      <w:pPr>
        <w:pStyle w:val="numpara2"/>
      </w:pPr>
      <w:bookmarkStart w:id="4" w:name="_Ref143270883"/>
      <w:r>
        <w:t xml:space="preserve">The Investor's rights under paragraph </w:t>
      </w:r>
      <w:r>
        <w:fldChar w:fldCharType="begin"/>
      </w:r>
      <w:r>
        <w:instrText xml:space="preserve"> REF _Ref143270878 \r \h </w:instrText>
      </w:r>
      <w:r>
        <w:fldChar w:fldCharType="separate"/>
      </w:r>
      <w:r>
        <w:t>2.1</w:t>
      </w:r>
      <w:r>
        <w:fldChar w:fldCharType="end"/>
      </w:r>
      <w:bookmarkEnd w:id="4"/>
      <w:r>
        <w:t xml:space="preserve"> are subject to any pre-emption rights granted by the Company to its shareholders prior to the date of this letter.</w:t>
      </w:r>
      <w:r>
        <w:rPr>
          <w:rStyle w:val="FootnoteReference"/>
        </w:rPr>
        <w:footnoteReference w:id="4"/>
      </w:r>
      <w:r>
        <w:t xml:space="preserve"> If following the exercise of any such pre-existing rights by the Company's shareholders the number of unallocated </w:t>
      </w:r>
      <w:proofErr w:type="spellStart"/>
      <w:r>
        <w:t>QF</w:t>
      </w:r>
      <w:proofErr w:type="spellEnd"/>
      <w:r>
        <w:t xml:space="preserve"> Shares is insufficient to allow the Investor to purchase its full Pro Rata Share, the Company may reduce the number of </w:t>
      </w:r>
      <w:proofErr w:type="spellStart"/>
      <w:r>
        <w:t>QF</w:t>
      </w:r>
      <w:proofErr w:type="spellEnd"/>
      <w:r>
        <w:t xml:space="preserve"> Shares that the Investor is entitled to purchase accordingly. If the Company has granted pre-emption rights to other investors on the terms (or substantially the same terms) set out in this letter and, following the exercise of pre-existing rights by the Company's shareholders, the number of unallocated </w:t>
      </w:r>
      <w:proofErr w:type="spellStart"/>
      <w:r>
        <w:t>QF</w:t>
      </w:r>
      <w:proofErr w:type="spellEnd"/>
      <w:r>
        <w:t xml:space="preserve"> Shares is insufficient to allow such other investors and the Investor to purchase their respective Pro Rata Shares, the Company may reduce the number of </w:t>
      </w:r>
      <w:proofErr w:type="spellStart"/>
      <w:r>
        <w:t>QF</w:t>
      </w:r>
      <w:proofErr w:type="spellEnd"/>
      <w:r>
        <w:t xml:space="preserve"> Shares each such investor (including the Investor) is entitled to purchase, provided that all investors are treated fairly.</w:t>
      </w:r>
    </w:p>
    <w:p>
      <w:pPr>
        <w:pStyle w:val="numpara1"/>
        <w:rPr>
          <w:b/>
        </w:rPr>
      </w:pPr>
      <w:r>
        <w:rPr>
          <w:b/>
        </w:rPr>
        <w:t>General</w:t>
      </w:r>
    </w:p>
    <w:p>
      <w:pPr>
        <w:pStyle w:val="numpara2"/>
      </w:pPr>
      <w:r>
        <w:t>This letter agreement will automatically terminate and cease to have any effect on the earlier of:</w:t>
      </w:r>
    </w:p>
    <w:p>
      <w:pPr>
        <w:pStyle w:val="numpara3"/>
      </w:pPr>
      <w:r>
        <w:t>the date the Investor ceases to hold the Investor SAFE (including as a result of the Investor SAFE terminating in accordance with its terms); or</w:t>
      </w:r>
    </w:p>
    <w:p>
      <w:pPr>
        <w:pStyle w:val="numpara3"/>
      </w:pPr>
      <w:proofErr w:type="gramStart"/>
      <w:r>
        <w:t>such</w:t>
      </w:r>
      <w:proofErr w:type="gramEnd"/>
      <w:r>
        <w:t xml:space="preserve"> other date as the Company and the Investor may agree in writing.</w:t>
      </w:r>
    </w:p>
    <w:p>
      <w:pPr>
        <w:pStyle w:val="numpara2"/>
      </w:pPr>
      <w:r>
        <w:lastRenderedPageBreak/>
        <w:t>This letter may be executed in two or more counterparts, each of which shall be deemed an original, but all of which together shall constitute one and the same instrument.</w:t>
      </w:r>
    </w:p>
    <w:p>
      <w:pPr>
        <w:pStyle w:val="numpara2"/>
      </w:pPr>
      <w:r>
        <w:t xml:space="preserve">This letter is governed by and must be construed in accordance with the laws of </w:t>
      </w:r>
      <w:r>
        <w:rPr>
          <w:highlight w:val="yellow"/>
        </w:rPr>
        <w:t>[insert state]</w:t>
      </w:r>
      <w:r>
        <w:t>. To the extent permitted by law, such governing law governs all matters arising out of or relating to this letter or its performance or subject matter, including its execution and formation.</w:t>
      </w:r>
    </w:p>
    <w:p>
      <w:pPr>
        <w:pStyle w:val="numpara2"/>
        <w:rPr>
          <w:lang w:val="en-GB"/>
        </w:rPr>
      </w:pPr>
      <w:bookmarkStart w:id="5" w:name="_Ref496536155"/>
      <w:r>
        <w:t xml:space="preserve">The parties submit to the exclusive jurisdiction of the courts of </w:t>
      </w:r>
      <w:r>
        <w:rPr>
          <w:highlight w:val="yellow"/>
        </w:rPr>
        <w:t>[insert same state as previous clause]</w:t>
      </w:r>
      <w:r>
        <w:t xml:space="preserve"> and the Commonwealth of Australia in respect of all matters arising out of or relating to this letter, its performance or subject matter.</w:t>
      </w:r>
      <w:bookmarkEnd w:id="5"/>
    </w:p>
    <w:p/>
    <w:p>
      <w:r>
        <w:t>Yours faithfully</w:t>
      </w:r>
    </w:p>
    <w:tbl>
      <w:tblPr>
        <w:tblW w:w="9945" w:type="dxa"/>
        <w:tblInd w:w="-90" w:type="dxa"/>
        <w:tblLayout w:type="fixed"/>
        <w:tblLook w:val="0000" w:firstRow="0" w:lastRow="0" w:firstColumn="0" w:lastColumn="0" w:noHBand="0" w:noVBand="0"/>
      </w:tblPr>
      <w:tblGrid>
        <w:gridCol w:w="5018"/>
        <w:gridCol w:w="425"/>
        <w:gridCol w:w="4502"/>
      </w:tblGrid>
      <w:tr>
        <w:tc>
          <w:tcPr>
            <w:tcW w:w="5018" w:type="dxa"/>
          </w:tcPr>
          <w:p>
            <w:pPr>
              <w:keepNext/>
              <w:keepLines/>
              <w:spacing w:after="0"/>
            </w:pPr>
            <w:r>
              <w:rPr>
                <w:b/>
              </w:rPr>
              <w:t>Executed</w:t>
            </w:r>
            <w:r>
              <w:rPr>
                <w:bCs/>
              </w:rPr>
              <w:t xml:space="preserve"> </w:t>
            </w:r>
            <w:r>
              <w:t xml:space="preserve">by the </w:t>
            </w:r>
            <w:r>
              <w:rPr>
                <w:b/>
              </w:rPr>
              <w:t>Company</w:t>
            </w:r>
            <w:r>
              <w:t xml:space="preserve"> in accordance with section 127(1) of the </w:t>
            </w:r>
            <w:r>
              <w:rPr>
                <w:i/>
                <w:iCs/>
              </w:rPr>
              <w:t>Corporations Act 2001 (</w:t>
            </w:r>
            <w:proofErr w:type="spellStart"/>
            <w:r>
              <w:rPr>
                <w:i/>
                <w:iCs/>
              </w:rPr>
              <w:t>Cth</w:t>
            </w:r>
            <w:proofErr w:type="spellEnd"/>
            <w:r>
              <w:rPr>
                <w:i/>
                <w:iCs/>
              </w:rPr>
              <w:t>)</w:t>
            </w:r>
            <w:r>
              <w:t>:</w:t>
            </w:r>
          </w:p>
        </w:tc>
        <w:tc>
          <w:tcPr>
            <w:tcW w:w="425" w:type="dxa"/>
          </w:tcPr>
          <w:p>
            <w:pPr>
              <w:keepNext/>
              <w:keepLines/>
              <w:spacing w:after="0"/>
            </w:pPr>
          </w:p>
          <w:p>
            <w:pPr>
              <w:keepNext/>
              <w:keepLines/>
              <w:spacing w:after="0"/>
            </w:pPr>
          </w:p>
          <w:p>
            <w:pPr>
              <w:keepNext/>
              <w:keepLines/>
              <w:spacing w:after="0"/>
            </w:pPr>
          </w:p>
          <w:p>
            <w:pPr>
              <w:keepNext/>
              <w:keepLines/>
              <w:spacing w:after="0"/>
            </w:pPr>
          </w:p>
        </w:tc>
        <w:tc>
          <w:tcPr>
            <w:tcW w:w="4502" w:type="dxa"/>
          </w:tcPr>
          <w:p>
            <w:pPr>
              <w:keepNext/>
              <w:keepLines/>
              <w:spacing w:after="0"/>
            </w:pPr>
          </w:p>
        </w:tc>
      </w:tr>
      <w:tr>
        <w:tc>
          <w:tcPr>
            <w:tcW w:w="501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501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501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5018" w:type="dxa"/>
          </w:tcPr>
          <w:p>
            <w:pPr>
              <w:keepNext/>
              <w:keepLines/>
              <w:tabs>
                <w:tab w:val="left" w:leader="dot" w:pos="4253"/>
              </w:tabs>
              <w:spacing w:after="0"/>
              <w:jc w:val="center"/>
            </w:pPr>
            <w:r>
              <w:t>Signature of director</w:t>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 of director or company secretary*</w:t>
            </w:r>
          </w:p>
        </w:tc>
      </w:tr>
      <w:tr>
        <w:tc>
          <w:tcPr>
            <w:tcW w:w="5018" w:type="dxa"/>
          </w:tcPr>
          <w:p>
            <w:pPr>
              <w:keepNext/>
              <w:keepLines/>
              <w:tabs>
                <w:tab w:val="left" w:leader="dot" w:pos="4253"/>
              </w:tabs>
              <w:spacing w:after="0"/>
              <w:jc w:val="center"/>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rPr>
                <w:sz w:val="18"/>
              </w:rPr>
            </w:pPr>
            <w:r>
              <w:rPr>
                <w:sz w:val="18"/>
              </w:rPr>
              <w:t>*delete whichever does not apply</w:t>
            </w:r>
          </w:p>
        </w:tc>
      </w:tr>
      <w:tr>
        <w:tc>
          <w:tcPr>
            <w:tcW w:w="501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501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501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5018" w:type="dxa"/>
          </w:tcPr>
          <w:p>
            <w:pPr>
              <w:spacing w:after="0"/>
              <w:jc w:val="center"/>
            </w:pPr>
            <w:r>
              <w:t xml:space="preserve">Name </w:t>
            </w:r>
            <w:r>
              <w:rPr>
                <w:sz w:val="18"/>
              </w:rPr>
              <w:t>(please print)</w:t>
            </w:r>
          </w:p>
        </w:tc>
        <w:tc>
          <w:tcPr>
            <w:tcW w:w="425" w:type="dxa"/>
          </w:tcPr>
          <w:p>
            <w:pPr>
              <w:keepNext/>
              <w:keepLines/>
              <w:tabs>
                <w:tab w:val="left" w:leader="dot" w:pos="4253"/>
              </w:tabs>
              <w:spacing w:after="0"/>
            </w:pPr>
          </w:p>
        </w:tc>
        <w:tc>
          <w:tcPr>
            <w:tcW w:w="4502" w:type="dxa"/>
          </w:tcPr>
          <w:p>
            <w:pPr>
              <w:spacing w:after="0"/>
              <w:jc w:val="center"/>
            </w:pPr>
            <w:r>
              <w:t xml:space="preserve">Name </w:t>
            </w:r>
            <w:r>
              <w:rPr>
                <w:sz w:val="18"/>
              </w:rPr>
              <w:t>(please print)</w:t>
            </w:r>
          </w:p>
        </w:tc>
      </w:tr>
    </w:tbl>
    <w:p/>
    <w:p>
      <w:pPr>
        <w:rPr>
          <w:b/>
        </w:rPr>
      </w:pPr>
    </w:p>
    <w:p>
      <w:r>
        <w:t>We agree to the above terms.</w:t>
      </w:r>
    </w:p>
    <w:tbl>
      <w:tblPr>
        <w:tblW w:w="9945" w:type="dxa"/>
        <w:tblInd w:w="-90" w:type="dxa"/>
        <w:tblLayout w:type="fixed"/>
        <w:tblLook w:val="0000" w:firstRow="0" w:lastRow="0" w:firstColumn="0" w:lastColumn="0" w:noHBand="0" w:noVBand="0"/>
      </w:tblPr>
      <w:tblGrid>
        <w:gridCol w:w="5018"/>
        <w:gridCol w:w="425"/>
        <w:gridCol w:w="4502"/>
      </w:tblGrid>
      <w:tr>
        <w:tc>
          <w:tcPr>
            <w:tcW w:w="5018" w:type="dxa"/>
          </w:tcPr>
          <w:p>
            <w:pPr>
              <w:keepNext/>
              <w:keepLines/>
              <w:spacing w:after="0"/>
            </w:pPr>
            <w:r>
              <w:rPr>
                <w:b/>
              </w:rPr>
              <w:t>Executed</w:t>
            </w:r>
            <w:r>
              <w:rPr>
                <w:bCs/>
              </w:rPr>
              <w:t xml:space="preserve"> </w:t>
            </w:r>
            <w:r>
              <w:t xml:space="preserve">by the </w:t>
            </w:r>
            <w:r>
              <w:rPr>
                <w:b/>
              </w:rPr>
              <w:t xml:space="preserve">Investor </w:t>
            </w:r>
            <w:r>
              <w:t xml:space="preserve">in accordance with section 127(1) of the </w:t>
            </w:r>
            <w:r>
              <w:rPr>
                <w:i/>
                <w:iCs/>
              </w:rPr>
              <w:t>Corporations Act 2001 (</w:t>
            </w:r>
            <w:proofErr w:type="spellStart"/>
            <w:r>
              <w:rPr>
                <w:i/>
                <w:iCs/>
              </w:rPr>
              <w:t>Cth</w:t>
            </w:r>
            <w:proofErr w:type="spellEnd"/>
            <w:r>
              <w:rPr>
                <w:i/>
                <w:iCs/>
              </w:rPr>
              <w:t>)</w:t>
            </w:r>
            <w:r>
              <w:t>:</w:t>
            </w:r>
          </w:p>
        </w:tc>
        <w:tc>
          <w:tcPr>
            <w:tcW w:w="425" w:type="dxa"/>
          </w:tcPr>
          <w:p>
            <w:pPr>
              <w:keepNext/>
              <w:keepLines/>
              <w:spacing w:after="0"/>
            </w:pPr>
          </w:p>
          <w:p>
            <w:pPr>
              <w:keepNext/>
              <w:keepLines/>
              <w:spacing w:after="0"/>
            </w:pPr>
          </w:p>
          <w:p>
            <w:pPr>
              <w:keepNext/>
              <w:keepLines/>
              <w:spacing w:after="0"/>
            </w:pPr>
          </w:p>
          <w:p>
            <w:pPr>
              <w:keepNext/>
              <w:keepLines/>
              <w:spacing w:after="0"/>
            </w:pPr>
          </w:p>
        </w:tc>
        <w:tc>
          <w:tcPr>
            <w:tcW w:w="4502" w:type="dxa"/>
          </w:tcPr>
          <w:p>
            <w:pPr>
              <w:keepNext/>
              <w:keepLines/>
              <w:spacing w:after="0"/>
            </w:pPr>
          </w:p>
        </w:tc>
      </w:tr>
      <w:tr>
        <w:tc>
          <w:tcPr>
            <w:tcW w:w="501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501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501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5018" w:type="dxa"/>
          </w:tcPr>
          <w:p>
            <w:pPr>
              <w:keepNext/>
              <w:keepLines/>
              <w:tabs>
                <w:tab w:val="left" w:leader="dot" w:pos="4253"/>
              </w:tabs>
              <w:spacing w:after="0"/>
              <w:jc w:val="center"/>
            </w:pPr>
            <w:r>
              <w:t>Signature of director</w:t>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 of director or company secretary*</w:t>
            </w:r>
          </w:p>
        </w:tc>
      </w:tr>
      <w:tr>
        <w:tc>
          <w:tcPr>
            <w:tcW w:w="5018" w:type="dxa"/>
          </w:tcPr>
          <w:p>
            <w:pPr>
              <w:keepNext/>
              <w:keepLines/>
              <w:tabs>
                <w:tab w:val="left" w:leader="dot" w:pos="4253"/>
              </w:tabs>
              <w:spacing w:after="0"/>
              <w:jc w:val="center"/>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rPr>
                <w:sz w:val="18"/>
              </w:rPr>
            </w:pPr>
            <w:r>
              <w:rPr>
                <w:sz w:val="18"/>
              </w:rPr>
              <w:t>*delete whichever does not apply</w:t>
            </w:r>
          </w:p>
        </w:tc>
      </w:tr>
      <w:tr>
        <w:tc>
          <w:tcPr>
            <w:tcW w:w="501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501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501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5018" w:type="dxa"/>
          </w:tcPr>
          <w:p>
            <w:pPr>
              <w:spacing w:after="0"/>
              <w:jc w:val="center"/>
            </w:pPr>
            <w:r>
              <w:t xml:space="preserve">Name </w:t>
            </w:r>
            <w:r>
              <w:rPr>
                <w:sz w:val="18"/>
              </w:rPr>
              <w:t>(please print)</w:t>
            </w:r>
          </w:p>
        </w:tc>
        <w:tc>
          <w:tcPr>
            <w:tcW w:w="425" w:type="dxa"/>
          </w:tcPr>
          <w:p>
            <w:pPr>
              <w:keepNext/>
              <w:keepLines/>
              <w:tabs>
                <w:tab w:val="left" w:leader="dot" w:pos="4253"/>
              </w:tabs>
              <w:spacing w:after="0"/>
            </w:pPr>
          </w:p>
        </w:tc>
        <w:tc>
          <w:tcPr>
            <w:tcW w:w="4502" w:type="dxa"/>
          </w:tcPr>
          <w:p>
            <w:pPr>
              <w:spacing w:after="0"/>
              <w:jc w:val="center"/>
            </w:pPr>
            <w:r>
              <w:t xml:space="preserve">Name </w:t>
            </w:r>
            <w:r>
              <w:rPr>
                <w:sz w:val="18"/>
              </w:rPr>
              <w:t>(please print)</w:t>
            </w:r>
          </w:p>
        </w:tc>
      </w:tr>
    </w:tbl>
    <w:p/>
    <w:p/>
    <w:p/>
    <w:sectPr>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567" w:footer="680"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DocID"/>
    </w:pPr>
    <w:bookmarkStart w:id="6" w:name="_iDocIDField2db2378c-031b-40fa-ab20-3a05"/>
    <w:r>
      <w:t>Doc ID 624026353/v1</w:t>
    </w:r>
    <w:bookmarkEnd w:id="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PageNumber"/>
      <w:rPr>
        <w:lang w:val="fr-FR"/>
      </w:rPr>
    </w:pPr>
    <w:r>
      <w:fldChar w:fldCharType="begin"/>
    </w:r>
    <w:r>
      <w:rPr>
        <w:lang w:val="fr-FR"/>
      </w:rPr>
      <w:instrText xml:space="preserve"> PAGE   \* MERGEFORMAT </w:instrText>
    </w:r>
    <w:r>
      <w:fldChar w:fldCharType="separate"/>
    </w:r>
    <w:r>
      <w:rPr>
        <w:noProof/>
        <w:lang w:val="fr-FR"/>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rPr>
          <w:lang w:val="en-US"/>
        </w:rPr>
      </w:pPr>
      <w:r>
        <w:rPr>
          <w:rStyle w:val="FootnoteReference"/>
        </w:rPr>
        <w:footnoteRef/>
      </w:r>
      <w:r>
        <w:t xml:space="preserve"> </w:t>
      </w:r>
      <w:r>
        <w:rPr>
          <w:lang w:val="en-US"/>
        </w:rPr>
        <w:t xml:space="preserve">This side letter is intended to sit alongside a SAFE between the Company and an Investor. It may not be appropriate to grant the rights under this side letter (e.g. Most </w:t>
      </w:r>
      <w:proofErr w:type="spellStart"/>
      <w:r>
        <w:rPr>
          <w:lang w:val="en-US"/>
        </w:rPr>
        <w:t>Favoured</w:t>
      </w:r>
      <w:proofErr w:type="spellEnd"/>
      <w:r>
        <w:rPr>
          <w:lang w:val="en-US"/>
        </w:rPr>
        <w:t xml:space="preserve"> Nation and Pre-emption rights) to all investors and careful thought should be given to whether such rights should be granted.</w:t>
      </w:r>
    </w:p>
  </w:footnote>
  <w:footnote w:id="3">
    <w:p>
      <w:pPr>
        <w:pStyle w:val="FootnoteText"/>
      </w:pPr>
      <w:r>
        <w:rPr>
          <w:rStyle w:val="FootnoteReference"/>
        </w:rPr>
        <w:footnoteRef/>
      </w:r>
      <w:r>
        <w:t xml:space="preserve"> Investors may also request information rights, particularly where the investor may have reporting obligations (</w:t>
      </w:r>
      <w:proofErr w:type="spellStart"/>
      <w:r>
        <w:t>eg</w:t>
      </w:r>
      <w:proofErr w:type="spellEnd"/>
      <w:r>
        <w:t xml:space="preserve"> as an early-stage venture capital limited partnership).</w:t>
      </w:r>
    </w:p>
  </w:footnote>
  <w:footnote w:id="4">
    <w:p>
      <w:pPr>
        <w:pStyle w:val="FootnoteText"/>
      </w:pPr>
      <w:r>
        <w:rPr>
          <w:rStyle w:val="FootnoteReference"/>
        </w:rPr>
        <w:footnoteRef/>
      </w:r>
      <w:r>
        <w:t xml:space="preserve"> If the Company has granted pre-emption rights to its existing shareholders (or others), it is possible that the right granted to the Investor under this letter might conflict with those existing rights. For example, if existing shareholders wish to take up all of the </w:t>
      </w:r>
      <w:proofErr w:type="spellStart"/>
      <w:r>
        <w:t>QF</w:t>
      </w:r>
      <w:proofErr w:type="spellEnd"/>
      <w:r>
        <w:t xml:space="preserve"> Shares under their pre-emption rights - the Company would not be able to satisfy its obligations to existing shareholders and also issue </w:t>
      </w:r>
      <w:proofErr w:type="spellStart"/>
      <w:r>
        <w:t>QF</w:t>
      </w:r>
      <w:proofErr w:type="spellEnd"/>
      <w:r>
        <w:t xml:space="preserve"> Shares to the Investor. This clause is intended to address that conflict and provides for the Investor's pre-emptive rights to rank behind any existing pre-emptive rights held by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E2E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6EBB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F62C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674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E1D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A4E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C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8A6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AEA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60B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9C1168"/>
    <w:multiLevelType w:val="multilevel"/>
    <w:tmpl w:val="EE3C0648"/>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1" w15:restartNumberingAfterBreak="0">
    <w:nsid w:val="20A04ABA"/>
    <w:multiLevelType w:val="multilevel"/>
    <w:tmpl w:val="64AA646C"/>
    <w:name w:val="zzmpAUScheme3||AU Scheme 3|2|3|1|1|2|41||1|2|33||1|2|32||1|2|32||1|2|32||1|2|32||1|2|32||1|2|32||1|2|32||"/>
    <w:lvl w:ilvl="0">
      <w:start w:val="1"/>
      <w:numFmt w:val="decimal"/>
      <w:pStyle w:val="AUScheme3L1"/>
      <w:isLgl/>
      <w:lvlText w:val="%1"/>
      <w:lvlJc w:val="left"/>
      <w:pPr>
        <w:tabs>
          <w:tab w:val="num" w:pos="720"/>
        </w:tabs>
        <w:ind w:left="720" w:hanging="720"/>
      </w:pPr>
      <w:rPr>
        <w:rFonts w:asciiTheme="minorHAnsi" w:hAnsiTheme="minorHAnsi" w:cstheme="minorHAnsi" w:hint="default"/>
        <w:b/>
        <w:i w:val="0"/>
        <w:caps/>
        <w:smallCaps w:val="0"/>
        <w:color w:val="auto"/>
        <w:sz w:val="22"/>
        <w:u w:val="none"/>
      </w:rPr>
    </w:lvl>
    <w:lvl w:ilvl="1">
      <w:start w:val="1"/>
      <w:numFmt w:val="decimal"/>
      <w:pStyle w:val="AUScheme3L2"/>
      <w:lvlText w:val="%1.%2"/>
      <w:lvlJc w:val="left"/>
      <w:pPr>
        <w:tabs>
          <w:tab w:val="num" w:pos="720"/>
        </w:tabs>
        <w:ind w:left="720" w:hanging="720"/>
      </w:pPr>
      <w:rPr>
        <w:rFonts w:ascii="Calibri" w:hAnsi="Calibri" w:cs="Calibri" w:hint="default"/>
        <w:b/>
        <w:i w:val="0"/>
        <w:caps w:val="0"/>
        <w:color w:val="auto"/>
        <w:sz w:val="22"/>
        <w:u w:val="none"/>
      </w:rPr>
    </w:lvl>
    <w:lvl w:ilvl="2">
      <w:start w:val="1"/>
      <w:numFmt w:val="lowerLetter"/>
      <w:pStyle w:val="AUScheme3L3"/>
      <w:lvlText w:val="(%3)"/>
      <w:lvlJc w:val="left"/>
      <w:pPr>
        <w:tabs>
          <w:tab w:val="num" w:pos="1440"/>
        </w:tabs>
        <w:ind w:left="1440" w:hanging="720"/>
      </w:pPr>
      <w:rPr>
        <w:rFonts w:ascii="Calibri" w:hAnsi="Calibri" w:cs="Calibri" w:hint="default"/>
        <w:b w:val="0"/>
        <w:i w:val="0"/>
        <w:caps w:val="0"/>
        <w:color w:val="auto"/>
        <w:sz w:val="22"/>
        <w:u w:val="none"/>
      </w:rPr>
    </w:lvl>
    <w:lvl w:ilvl="3">
      <w:start w:val="1"/>
      <w:numFmt w:val="lowerRoman"/>
      <w:pStyle w:val="AUScheme3L4"/>
      <w:lvlText w:val="(%4)"/>
      <w:lvlJc w:val="left"/>
      <w:pPr>
        <w:tabs>
          <w:tab w:val="num" w:pos="2847"/>
        </w:tabs>
        <w:ind w:left="2847" w:hanging="720"/>
      </w:pPr>
      <w:rPr>
        <w:rFonts w:asciiTheme="minorHAnsi" w:hAnsiTheme="minorHAnsi" w:cstheme="minorHAnsi" w:hint="default"/>
        <w:b w:val="0"/>
        <w:i w:val="0"/>
        <w:caps w:val="0"/>
        <w:color w:val="auto"/>
        <w:sz w:val="22"/>
        <w:u w:val="none"/>
      </w:rPr>
    </w:lvl>
    <w:lvl w:ilvl="4">
      <w:start w:val="1"/>
      <w:numFmt w:val="upperLetter"/>
      <w:pStyle w:val="AUScheme3L5"/>
      <w:lvlText w:val="(%5)"/>
      <w:lvlJc w:val="left"/>
      <w:pPr>
        <w:tabs>
          <w:tab w:val="num" w:pos="2880"/>
        </w:tabs>
        <w:ind w:left="2880" w:hanging="720"/>
      </w:pPr>
      <w:rPr>
        <w:rFonts w:asciiTheme="minorHAnsi" w:hAnsiTheme="minorHAnsi" w:cstheme="minorHAnsi" w:hint="default"/>
        <w:b w:val="0"/>
        <w:i w:val="0"/>
        <w:caps w:val="0"/>
        <w:color w:val="auto"/>
        <w:sz w:val="22"/>
        <w:u w:val="none"/>
      </w:rPr>
    </w:lvl>
    <w:lvl w:ilvl="5">
      <w:start w:val="1"/>
      <w:numFmt w:val="upperRoman"/>
      <w:pStyle w:val="AUScheme3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AUScheme3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AUScheme3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AUScheme3L9"/>
      <w:lvlText w:val="·"/>
      <w:lvlJc w:val="left"/>
      <w:pPr>
        <w:tabs>
          <w:tab w:val="num" w:pos="2160"/>
        </w:tabs>
        <w:ind w:left="2160" w:hanging="720"/>
      </w:pPr>
      <w:rPr>
        <w:rFonts w:ascii="Symbol" w:hAnsi="Symbol" w:hint="default"/>
        <w:b w:val="0"/>
        <w:i w:val="0"/>
        <w:caps w:val="0"/>
        <w:color w:val="auto"/>
        <w:sz w:val="22"/>
        <w:u w:val="none"/>
      </w:rPr>
    </w:lvl>
  </w:abstractNum>
  <w:abstractNum w:abstractNumId="12" w15:restartNumberingAfterBreak="0">
    <w:nsid w:val="223E6507"/>
    <w:multiLevelType w:val="multilevel"/>
    <w:tmpl w:val="010CA3B2"/>
    <w:styleLink w:val="MListTablenumberheading"/>
    <w:lvl w:ilvl="0">
      <w:start w:val="1"/>
      <w:numFmt w:val="decimal"/>
      <w:pStyle w:val="Tablenumberheading"/>
      <w:suff w:val="nothing"/>
      <w:lvlText w:val="Table %1"/>
      <w:lvlJc w:val="left"/>
      <w:pPr>
        <w:ind w:left="0" w:firstLine="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713234D"/>
    <w:multiLevelType w:val="multilevel"/>
    <w:tmpl w:val="E2D46A92"/>
    <w:styleLink w:val="MListPartnumberheading"/>
    <w:lvl w:ilvl="0">
      <w:start w:val="1"/>
      <w:numFmt w:val="upperLetter"/>
      <w:pStyle w:val="Partnumberheading"/>
      <w:suff w:val="nothing"/>
      <w:lvlText w:val="Part %1"/>
      <w:lvlJc w:val="left"/>
      <w:pPr>
        <w:ind w:left="0" w:firstLine="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7A9634B"/>
    <w:multiLevelType w:val="multilevel"/>
    <w:tmpl w:val="0F489FB8"/>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5" w15:restartNumberingAfterBreak="0">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0F7395"/>
    <w:multiLevelType w:val="multilevel"/>
    <w:tmpl w:val="E11CA7F6"/>
    <w:styleLink w:val="MListSchedulenumberheading"/>
    <w:lvl w:ilvl="0">
      <w:start w:val="1"/>
      <w:numFmt w:val="decimal"/>
      <w:pStyle w:val="Schedulenumberheading"/>
      <w:suff w:val="nothing"/>
      <w:lvlText w:val="Schedule %1"/>
      <w:lvlJc w:val="left"/>
      <w:pPr>
        <w:ind w:left="0" w:firstLine="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E616B1B"/>
    <w:multiLevelType w:val="multilevel"/>
    <w:tmpl w:val="902C76CC"/>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19" w15:restartNumberingAfterBreak="0">
    <w:nsid w:val="5FFC0A51"/>
    <w:multiLevelType w:val="multilevel"/>
    <w:tmpl w:val="6B701D5A"/>
    <w:name w:val="List of numbers (no headings)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2410"/>
        </w:tabs>
        <w:ind w:left="2410"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5" w:hanging="566"/>
      </w:pPr>
      <w:rPr>
        <w:rFonts w:hint="default"/>
      </w:rPr>
    </w:lvl>
    <w:lvl w:ilvl="8">
      <w:start w:val="1"/>
      <w:numFmt w:val="lowerRoman"/>
      <w:lvlText w:val="%9."/>
      <w:lvlJc w:val="left"/>
      <w:pPr>
        <w:ind w:left="5102" w:hanging="567"/>
      </w:pPr>
      <w:rPr>
        <w:rFonts w:hint="default"/>
      </w:rPr>
    </w:lvl>
  </w:abstractNum>
  <w:abstractNum w:abstractNumId="20" w15:restartNumberingAfterBreak="0">
    <w:nsid w:val="6B195CB6"/>
    <w:multiLevelType w:val="multilevel"/>
    <w:tmpl w:val="E2D46A92"/>
    <w:numStyleLink w:val="MListPartnumberheading"/>
  </w:abstractNum>
  <w:abstractNum w:abstractNumId="21" w15:restartNumberingAfterBreak="0">
    <w:nsid w:val="6BBA15F1"/>
    <w:multiLevelType w:val="multilevel"/>
    <w:tmpl w:val="927E5224"/>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22" w15:restartNumberingAfterBreak="0">
    <w:nsid w:val="6CD33935"/>
    <w:multiLevelType w:val="multilevel"/>
    <w:tmpl w:val="66424BBE"/>
    <w:styleLink w:val="MListAnnexureNumberHeading"/>
    <w:lvl w:ilvl="0">
      <w:start w:val="1"/>
      <w:numFmt w:val="decimal"/>
      <w:pStyle w:val="Annexurenumberheading"/>
      <w:suff w:val="nothing"/>
      <w:lvlText w:val="Annexure %1"/>
      <w:lvlJc w:val="left"/>
      <w:pPr>
        <w:ind w:left="0" w:firstLine="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DA9112B"/>
    <w:multiLevelType w:val="multilevel"/>
    <w:tmpl w:val="0F489FB8"/>
    <w:numStyleLink w:val="MListSchHeadingNumbering"/>
  </w:abstractNum>
  <w:num w:numId="1">
    <w:abstractNumId w:val="15"/>
  </w:num>
  <w:num w:numId="2">
    <w:abstractNumId w:val="16"/>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1"/>
  </w:num>
  <w:num w:numId="16">
    <w:abstractNumId w:val="18"/>
  </w:num>
  <w:num w:numId="17">
    <w:abstractNumId w:val="14"/>
  </w:num>
  <w:num w:numId="18">
    <w:abstractNumId w:val="18"/>
  </w:num>
  <w:num w:numId="19">
    <w:abstractNumId w:val="17"/>
  </w:num>
  <w:num w:numId="20">
    <w:abstractNumId w:val="22"/>
  </w:num>
  <w:num w:numId="21">
    <w:abstractNumId w:val="13"/>
  </w:num>
  <w:num w:numId="22">
    <w:abstractNumId w:val="12"/>
  </w:num>
  <w:num w:numId="23">
    <w:abstractNumId w:val="24"/>
  </w:num>
  <w:num w:numId="24">
    <w:abstractNumId w:val="20"/>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4096" w:nlCheck="1" w:checkStyle="0"/>
  <w:activeWritingStyle w:appName="MSWord" w:lang="en-AU"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9070A-9849-4F1E-8E10-CB5B3112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2"/>
    <w:lsdException w:name="heading 2" w:semiHidden="1" w:uiPriority="3" w:unhideWhenUsed="1"/>
    <w:lsdException w:name="heading 3" w:uiPriority="4"/>
    <w:lsdException w:name="heading 4" w:uiPriority="4"/>
    <w:lsdException w:name="heading 5" w:uiPriority="4"/>
    <w:lsdException w:name="heading 6" w:semiHidden="1" w:unhideWhenUsed="1"/>
    <w:lsdException w:name="heading 7" w:semiHidden="1" w:unhideWhenUsed="1"/>
    <w:lsdException w:name="heading 8" w:semiHidden="1" w:uiPriority="79"/>
    <w:lsdException w:name="heading 9" w:semiHidden="1" w:uiPriority="7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1,1.,1. Level 1 Heading,69%,Attribute Heading 1,Chapter,First level,H1,Head1,Heading 1 St.George,Heading 1X,Heading apps,Lev 1,MAIN HEADING,Main Heading,No numbers,Section Heading,Section heading,T1,Text,c,con1,h1,heading,heading 1"/>
    <w:basedOn w:val="Normal"/>
    <w:next w:val="Heading2"/>
    <w:link w:val="Heading1Char"/>
    <w:uiPriority w:val="2"/>
    <w:pPr>
      <w:keepNext/>
      <w:numPr>
        <w:numId w:val="15"/>
      </w:numPr>
      <w:outlineLvl w:val="0"/>
    </w:pPr>
    <w:rPr>
      <w:rFonts w:eastAsiaTheme="majorEastAsia" w:cstheme="majorBidi"/>
      <w:b/>
      <w:bCs/>
      <w:sz w:val="28"/>
      <w:szCs w:val="28"/>
    </w:rPr>
  </w:style>
  <w:style w:type="paragraph" w:styleId="Heading2">
    <w:name w:val="heading 2"/>
    <w:aliases w:val="1.1,2,2m,3 bullet,3b,Attribute Heading 2,H2,Head 2,Header 2,Heading 2X,List level 2,R heading 2,Reset numbering,Section,Sub-heading,UNDERRUBRIK 1-2,b,body,h 2,h2,h2 main heading,h2.H2,h21,h22,heading 2TOC,heading 2body,l2,list 2,list 2,p,test"/>
    <w:basedOn w:val="Normal"/>
    <w:next w:val="bodytext2"/>
    <w:link w:val="Heading2Char"/>
    <w:uiPriority w:val="3"/>
    <w:pPr>
      <w:keepNext/>
      <w:numPr>
        <w:ilvl w:val="1"/>
        <w:numId w:val="15"/>
      </w:numPr>
      <w:outlineLvl w:val="1"/>
    </w:pPr>
    <w:rPr>
      <w:rFonts w:eastAsiaTheme="majorEastAsia" w:cstheme="majorBidi"/>
      <w:b/>
      <w:bCs/>
      <w:sz w:val="24"/>
      <w:szCs w:val="26"/>
    </w:rPr>
  </w:style>
  <w:style w:type="paragraph" w:styleId="Heading3">
    <w:name w:val="heading 3"/>
    <w:aliases w:val="(Alt+3),(Alt+3)1,(Alt+3)10,(Alt+3)11,(Alt+3)12,(Alt+3)13,(Alt+3)2,(Alt+3)21,(Alt+3)22,(Alt+3)23,(Alt+3)3,(Alt+3)31,(Alt+3)32,(Alt+3)33,(Alt+3)4,(Alt+3)41,(Alt+3)42,(Alt+3)43,(Alt+3)5,(Alt+3)6,(Alt+3)7,(Alt+3)8,(Alt+3)9,1st sub-clause,H3,H31,h3"/>
    <w:basedOn w:val="Normal"/>
    <w:link w:val="Heading3Char"/>
    <w:uiPriority w:val="4"/>
    <w:pPr>
      <w:numPr>
        <w:ilvl w:val="2"/>
        <w:numId w:val="15"/>
      </w:numPr>
      <w:outlineLvl w:val="2"/>
    </w:pPr>
    <w:rPr>
      <w:rFonts w:eastAsiaTheme="majorEastAsia" w:cstheme="majorBidi"/>
      <w:bCs/>
    </w:rPr>
  </w:style>
  <w:style w:type="paragraph" w:styleId="Heading4">
    <w:name w:val="heading 4"/>
    <w:aliases w:val="(Alt+4),(Alt+4)1,(Alt+4)11,(Alt+4)12,(Alt+4)2,(Alt+4)21,(Alt+4)22,(Alt+4)3,(Alt+4)31,(Alt+4)32,(Alt+4)4,(Alt+4)5,(Alt+4)6,(i),(i)Text,2nd sub-clause,4,H4,H41,H411,H412,H42,H421,H422,H43,H431,H432,H44,H45,H46,H47,bb,bl,h4,h4 sub sub heading,i"/>
    <w:basedOn w:val="Normal"/>
    <w:link w:val="Heading4Char"/>
    <w:uiPriority w:val="4"/>
    <w:pPr>
      <w:numPr>
        <w:ilvl w:val="3"/>
        <w:numId w:val="15"/>
      </w:numPr>
      <w:outlineLvl w:val="3"/>
    </w:pPr>
    <w:rPr>
      <w:rFonts w:eastAsiaTheme="majorEastAsia" w:cstheme="majorBidi"/>
      <w:bCs/>
      <w:iCs/>
    </w:rPr>
  </w:style>
  <w:style w:type="paragraph" w:styleId="Heading5">
    <w:name w:val="heading 5"/>
    <w:aliases w:val="(A),(A)Text,3rd level sub-clause,3rd sub-clause,5,A,Appendix,Appendix A to X,Appendix A to X1,Block Label,Body Text (R),H5,Heading 5   Appendix A to X,Heading 5   Appendix A to X1,Heading 5 Interstar,Heading 5 StGeorge,Lev 5,Level 3 - i,h5,s"/>
    <w:basedOn w:val="Normal"/>
    <w:link w:val="Heading5Char"/>
    <w:uiPriority w:val="4"/>
    <w:pPr>
      <w:numPr>
        <w:ilvl w:val="4"/>
        <w:numId w:val="15"/>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1 Char,1. Char,1. Level 1 Heading Char,69% Char,Attribute Heading 1 Char,Chapter Char,First level Char,H1 Char,Head1 Char,Heading 1 St.George Char,Heading 1X Char,Heading apps Char,Lev 1 Char,MAIN HEADING Char,T1 Char"/>
    <w:basedOn w:val="DefaultParagraphFont"/>
    <w:link w:val="Heading1"/>
    <w:uiPriority w:val="2"/>
    <w:rPr>
      <w:rFonts w:eastAsiaTheme="majorEastAsia" w:cstheme="majorBidi"/>
      <w:b/>
      <w:bCs/>
      <w:sz w:val="28"/>
      <w:szCs w:val="28"/>
    </w:rPr>
  </w:style>
  <w:style w:type="character" w:customStyle="1" w:styleId="Heading3Char">
    <w:name w:val="Heading 3 Char"/>
    <w:aliases w:val="(Alt+3) Char,(Alt+3)1 Char,(Alt+3)10 Char,(Alt+3)11 Char,(Alt+3)12 Char,(Alt+3)13 Char,(Alt+3)2 Char,(Alt+3)21 Char,(Alt+3)22 Char,(Alt+3)23 Char,(Alt+3)3 Char,(Alt+3)31 Char,(Alt+3)32 Char,(Alt+3)33 Char,(Alt+3)4 Char,(Alt+3)41 Char"/>
    <w:basedOn w:val="DefaultParagraphFont"/>
    <w:link w:val="Heading3"/>
    <w:uiPriority w:val="4"/>
    <w:rPr>
      <w:rFonts w:eastAsiaTheme="majorEastAsia" w:cstheme="majorBidi"/>
      <w:bCs/>
    </w:rPr>
  </w:style>
  <w:style w:type="character" w:customStyle="1" w:styleId="Heading2Char">
    <w:name w:val="Heading 2 Char"/>
    <w:aliases w:val="1.1 Char,2 Char,2m Char,3 bullet Char,3b Char,Attribute Heading 2 Char,H2 Char,Head 2 Char,Header 2 Char,Heading 2X Char,List level 2 Char,R heading 2 Char,Reset numbering Char,Section Char,Sub-heading Char,UNDERRUBRIK 1-2 Char,b Char"/>
    <w:basedOn w:val="DefaultParagraphFont"/>
    <w:link w:val="Heading2"/>
    <w:uiPriority w:val="3"/>
    <w:rPr>
      <w:rFonts w:eastAsiaTheme="majorEastAsia" w:cstheme="majorBidi"/>
      <w:b/>
      <w:bCs/>
      <w:sz w:val="24"/>
      <w:szCs w:val="26"/>
    </w:rPr>
  </w:style>
  <w:style w:type="character" w:customStyle="1" w:styleId="Heading4Char">
    <w:name w:val="Heading 4 Char"/>
    <w:aliases w:val="(Alt+4) Char,(Alt+4)1 Char,(Alt+4)11 Char,(Alt+4)12 Char,(Alt+4)2 Char,(Alt+4)21 Char,(Alt+4)22 Char,(Alt+4)3 Char,(Alt+4)31 Char,(Alt+4)32 Char,(Alt+4)4 Char,(Alt+4)5 Char,(Alt+4)6 Char,(i) Char,(i)Text Char,2nd sub-clause Char,4 Char"/>
    <w:basedOn w:val="DefaultParagraphFont"/>
    <w:link w:val="Heading4"/>
    <w:uiPriority w:val="4"/>
    <w:rPr>
      <w:rFonts w:eastAsiaTheme="majorEastAsia" w:cstheme="majorBidi"/>
      <w:bCs/>
      <w:iCs/>
    </w:rPr>
  </w:style>
  <w:style w:type="character" w:customStyle="1" w:styleId="Heading5Char">
    <w:name w:val="Heading 5 Char"/>
    <w:aliases w:val="(A) Char,(A)Text Char,3rd level sub-clause Char,3rd sub-clause Char,5 Char,A Char,Appendix Char,Appendix A to X Char,Appendix A to X1 Char,Block Label Char,Body Text (R) Char,H5 Char,Heading 5   Appendix A to X Char,Lev 5 Char,h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link w:val="bodytext2Char"/>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4"/>
      </w:numPr>
    </w:pPr>
    <w:rPr>
      <w:rFonts w:eastAsia="Times New Roman" w:cs="Times New Roman"/>
      <w:szCs w:val="20"/>
    </w:rPr>
  </w:style>
  <w:style w:type="paragraph" w:customStyle="1" w:styleId="Bullet2">
    <w:name w:val="Bullet 2"/>
    <w:basedOn w:val="Normal"/>
    <w:uiPriority w:val="14"/>
    <w:qFormat/>
    <w:pPr>
      <w:numPr>
        <w:ilvl w:val="1"/>
        <w:numId w:val="14"/>
      </w:numPr>
    </w:pPr>
    <w:rPr>
      <w:rFonts w:eastAsia="Times New Roman" w:cs="Times New Roman"/>
      <w:szCs w:val="20"/>
    </w:rPr>
  </w:style>
  <w:style w:type="paragraph" w:customStyle="1" w:styleId="Bullet3">
    <w:name w:val="Bullet 3"/>
    <w:basedOn w:val="Normal"/>
    <w:uiPriority w:val="14"/>
    <w:qFormat/>
    <w:pPr>
      <w:numPr>
        <w:ilvl w:val="2"/>
        <w:numId w:val="14"/>
      </w:numPr>
    </w:pPr>
    <w:rPr>
      <w:rFonts w:eastAsia="Times New Roman" w:cs="Times New Roman"/>
      <w:szCs w:val="20"/>
    </w:rPr>
  </w:style>
  <w:style w:type="paragraph" w:customStyle="1" w:styleId="Bullet4">
    <w:name w:val="Bullet 4"/>
    <w:basedOn w:val="Normal"/>
    <w:uiPriority w:val="14"/>
    <w:qFormat/>
    <w:pPr>
      <w:numPr>
        <w:ilvl w:val="3"/>
        <w:numId w:val="14"/>
      </w:numPr>
    </w:pPr>
    <w:rPr>
      <w:rFonts w:eastAsia="Times New Roman" w:cs="Times New Roman"/>
      <w:szCs w:val="20"/>
    </w:rPr>
  </w:style>
  <w:style w:type="paragraph" w:customStyle="1" w:styleId="numpara1">
    <w:name w:val="numpara1"/>
    <w:basedOn w:val="Normal"/>
    <w:uiPriority w:val="13"/>
    <w:qFormat/>
    <w:pPr>
      <w:numPr>
        <w:numId w:val="18"/>
      </w:numPr>
    </w:pPr>
    <w:rPr>
      <w:rFonts w:eastAsia="Times New Roman" w:cs="Times New Roman"/>
      <w:szCs w:val="20"/>
    </w:rPr>
  </w:style>
  <w:style w:type="paragraph" w:customStyle="1" w:styleId="numpara2">
    <w:name w:val="numpara2"/>
    <w:basedOn w:val="Normal"/>
    <w:uiPriority w:val="13"/>
    <w:qFormat/>
    <w:pPr>
      <w:numPr>
        <w:ilvl w:val="1"/>
        <w:numId w:val="18"/>
      </w:numPr>
    </w:pPr>
    <w:rPr>
      <w:rFonts w:eastAsia="Times New Roman" w:cs="Times New Roman"/>
      <w:szCs w:val="20"/>
    </w:rPr>
  </w:style>
  <w:style w:type="paragraph" w:customStyle="1" w:styleId="numpara3">
    <w:name w:val="numpara3"/>
    <w:basedOn w:val="Normal"/>
    <w:uiPriority w:val="13"/>
    <w:qFormat/>
    <w:pPr>
      <w:numPr>
        <w:ilvl w:val="2"/>
        <w:numId w:val="18"/>
      </w:numPr>
    </w:pPr>
    <w:rPr>
      <w:rFonts w:eastAsia="Times New Roman" w:cs="Times New Roman"/>
      <w:szCs w:val="20"/>
    </w:rPr>
  </w:style>
  <w:style w:type="paragraph" w:customStyle="1" w:styleId="numpara4">
    <w:name w:val="numpara4"/>
    <w:basedOn w:val="Normal"/>
    <w:uiPriority w:val="13"/>
    <w:qFormat/>
    <w:pPr>
      <w:numPr>
        <w:ilvl w:val="3"/>
        <w:numId w:val="18"/>
      </w:numPr>
    </w:pPr>
    <w:rPr>
      <w:rFonts w:eastAsia="Times New Roman" w:cs="Times New Roman"/>
      <w:szCs w:val="20"/>
    </w:rPr>
  </w:style>
  <w:style w:type="paragraph" w:customStyle="1" w:styleId="numpara5">
    <w:name w:val="numpara5"/>
    <w:basedOn w:val="Normal"/>
    <w:uiPriority w:val="13"/>
    <w:qFormat/>
    <w:pPr>
      <w:numPr>
        <w:ilvl w:val="4"/>
        <w:numId w:val="18"/>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20"/>
    <w:qFormat/>
    <w:pPr>
      <w:keepNext/>
      <w:numPr>
        <w:numId w:val="23"/>
      </w:numPr>
    </w:pPr>
    <w:rPr>
      <w:rFonts w:eastAsia="Times New Roman" w:cs="Times New Roman"/>
      <w:b/>
      <w:sz w:val="28"/>
      <w:szCs w:val="20"/>
    </w:rPr>
  </w:style>
  <w:style w:type="paragraph" w:customStyle="1" w:styleId="SchHeading2">
    <w:name w:val="Sch Heading 2"/>
    <w:basedOn w:val="Normal"/>
    <w:next w:val="bodytext2"/>
    <w:uiPriority w:val="20"/>
    <w:qFormat/>
    <w:pPr>
      <w:keepNext/>
      <w:numPr>
        <w:ilvl w:val="1"/>
        <w:numId w:val="23"/>
      </w:numPr>
    </w:pPr>
    <w:rPr>
      <w:rFonts w:eastAsia="Times New Roman" w:cs="Times New Roman"/>
      <w:b/>
      <w:sz w:val="24"/>
      <w:szCs w:val="20"/>
    </w:rPr>
  </w:style>
  <w:style w:type="paragraph" w:customStyle="1" w:styleId="SchHeading3">
    <w:name w:val="Sch Heading 3"/>
    <w:basedOn w:val="Normal"/>
    <w:uiPriority w:val="20"/>
    <w:qFormat/>
    <w:pPr>
      <w:numPr>
        <w:ilvl w:val="2"/>
        <w:numId w:val="23"/>
      </w:numPr>
    </w:pPr>
  </w:style>
  <w:style w:type="paragraph" w:customStyle="1" w:styleId="SchHeading4">
    <w:name w:val="Sch Heading 4"/>
    <w:basedOn w:val="Normal"/>
    <w:uiPriority w:val="20"/>
    <w:qFormat/>
    <w:pPr>
      <w:numPr>
        <w:ilvl w:val="3"/>
        <w:numId w:val="23"/>
      </w:numPr>
    </w:pPr>
    <w:rPr>
      <w:rFonts w:eastAsia="Times New Roman" w:cs="Times New Roman"/>
      <w:szCs w:val="20"/>
    </w:rPr>
  </w:style>
  <w:style w:type="paragraph" w:customStyle="1" w:styleId="SchHeading5">
    <w:name w:val="Sch Heading 5"/>
    <w:basedOn w:val="Normal"/>
    <w:uiPriority w:val="20"/>
    <w:qFormat/>
    <w:pPr>
      <w:numPr>
        <w:ilvl w:val="4"/>
        <w:numId w:val="23"/>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27"/>
    <w:qFormat/>
    <w:pPr>
      <w:keepNext/>
    </w:pPr>
    <w:rPr>
      <w:b/>
      <w:sz w:val="28"/>
    </w:rPr>
  </w:style>
  <w:style w:type="paragraph" w:customStyle="1" w:styleId="NoNum-Heading2">
    <w:name w:val="No Num-Heading 2"/>
    <w:basedOn w:val="Normal"/>
    <w:next w:val="Normal"/>
    <w:uiPriority w:val="27"/>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uiPriority w:val="59"/>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42"/>
    <w:pPr>
      <w:keepNext/>
      <w:tabs>
        <w:tab w:val="right" w:pos="9072"/>
      </w:tabs>
      <w:spacing w:before="120" w:after="60"/>
      <w:ind w:left="851" w:right="851" w:hanging="851"/>
    </w:pPr>
    <w:rPr>
      <w:b/>
      <w:noProof/>
      <w:sz w:val="24"/>
    </w:rPr>
  </w:style>
  <w:style w:type="paragraph" w:styleId="TOC2">
    <w:name w:val="toc 2"/>
    <w:basedOn w:val="Normal"/>
    <w:next w:val="Normal"/>
    <w:uiPriority w:val="42"/>
    <w:pPr>
      <w:tabs>
        <w:tab w:val="right" w:pos="9072"/>
      </w:tabs>
      <w:spacing w:after="0"/>
      <w:ind w:left="851" w:right="567" w:hanging="851"/>
    </w:pPr>
    <w:rPr>
      <w:sz w:val="24"/>
    </w:rPr>
  </w:style>
  <w:style w:type="paragraph" w:styleId="TOC3">
    <w:name w:val="toc 3"/>
    <w:basedOn w:val="Normal"/>
    <w:next w:val="Normal"/>
    <w:uiPriority w:val="42"/>
    <w:unhideWhenUsed/>
    <w:pPr>
      <w:tabs>
        <w:tab w:val="right" w:pos="9072"/>
      </w:tabs>
      <w:spacing w:after="0"/>
      <w:ind w:left="851" w:hanging="851"/>
    </w:pPr>
    <w:rPr>
      <w:b/>
      <w:sz w:val="24"/>
    </w:rPr>
  </w:style>
  <w:style w:type="paragraph" w:styleId="Footer">
    <w:name w:val="footer"/>
    <w:basedOn w:val="Normal"/>
    <w:link w:val="FooterChar"/>
    <w:uiPriority w:val="3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1"/>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42"/>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2"/>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3"/>
      </w:numPr>
    </w:pPr>
  </w:style>
  <w:style w:type="paragraph" w:styleId="Bibliography">
    <w:name w:val="Bibliography"/>
    <w:basedOn w:val="Normal"/>
    <w:next w:val="Normal"/>
    <w:uiPriority w:val="40"/>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0"/>
    <w:uiPriority w:val="99"/>
    <w:semiHidden/>
    <w:pPr>
      <w:spacing w:after="120" w:line="480" w:lineRule="auto"/>
    </w:pPr>
  </w:style>
  <w:style w:type="character" w:customStyle="1" w:styleId="BodyText2Char0">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6"/>
    <w:semiHidden/>
    <w:rPr>
      <w:b/>
      <w:bCs/>
      <w:smallCaps/>
      <w:spacing w:val="5"/>
    </w:rPr>
  </w:style>
  <w:style w:type="paragraph" w:styleId="Caption">
    <w:name w:val="caption"/>
    <w:basedOn w:val="Normal"/>
    <w:next w:val="Normal"/>
    <w:uiPriority w:val="38"/>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3"/>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3"/>
    <w:semiHidden/>
    <w:rPr>
      <w:b/>
      <w:bCs/>
      <w:i/>
      <w:iCs/>
      <w:color w:val="4F81BD" w:themeColor="accent1"/>
    </w:rPr>
  </w:style>
  <w:style w:type="character" w:styleId="IntenseReference">
    <w:name w:val="Intense Reference"/>
    <w:basedOn w:val="DefaultParagraphFont"/>
    <w:uiPriority w:val="35"/>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semiHidden/>
    <w:pPr>
      <w:numPr>
        <w:numId w:val="4"/>
      </w:numPr>
      <w:contextualSpacing/>
    </w:pPr>
  </w:style>
  <w:style w:type="paragraph" w:styleId="ListBullet2">
    <w:name w:val="List Bullet 2"/>
    <w:basedOn w:val="Normal"/>
    <w:uiPriority w:val="99"/>
    <w:semiHidden/>
    <w:pPr>
      <w:numPr>
        <w:numId w:val="5"/>
      </w:numPr>
      <w:contextualSpacing/>
    </w:pPr>
  </w:style>
  <w:style w:type="paragraph" w:styleId="ListBullet3">
    <w:name w:val="List Bullet 3"/>
    <w:basedOn w:val="Normal"/>
    <w:uiPriority w:val="99"/>
    <w:semiHidden/>
    <w:pPr>
      <w:numPr>
        <w:numId w:val="6"/>
      </w:numPr>
      <w:contextualSpacing/>
    </w:pPr>
  </w:style>
  <w:style w:type="paragraph" w:styleId="ListBullet4">
    <w:name w:val="List Bullet 4"/>
    <w:basedOn w:val="Normal"/>
    <w:uiPriority w:val="99"/>
    <w:semiHidden/>
    <w:pPr>
      <w:numPr>
        <w:numId w:val="7"/>
      </w:numPr>
      <w:contextualSpacing/>
    </w:pPr>
  </w:style>
  <w:style w:type="paragraph" w:styleId="ListBullet5">
    <w:name w:val="List Bullet 5"/>
    <w:basedOn w:val="Normal"/>
    <w:uiPriority w:val="99"/>
    <w:semiHidden/>
    <w:pPr>
      <w:numPr>
        <w:numId w:val="8"/>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9"/>
      </w:numPr>
      <w:contextualSpacing/>
    </w:pPr>
  </w:style>
  <w:style w:type="paragraph" w:styleId="ListNumber2">
    <w:name w:val="List Number 2"/>
    <w:basedOn w:val="Normal"/>
    <w:uiPriority w:val="99"/>
    <w:semiHidden/>
    <w:pPr>
      <w:numPr>
        <w:numId w:val="10"/>
      </w:numPr>
      <w:contextualSpacing/>
    </w:pPr>
  </w:style>
  <w:style w:type="paragraph" w:styleId="ListNumber3">
    <w:name w:val="List Number 3"/>
    <w:basedOn w:val="Normal"/>
    <w:uiPriority w:val="99"/>
    <w:semiHidden/>
    <w:pPr>
      <w:numPr>
        <w:numId w:val="11"/>
      </w:numPr>
      <w:contextualSpacing/>
    </w:pPr>
  </w:style>
  <w:style w:type="paragraph" w:styleId="ListNumber4">
    <w:name w:val="List Number 4"/>
    <w:basedOn w:val="Normal"/>
    <w:uiPriority w:val="99"/>
    <w:semiHidden/>
    <w:pPr>
      <w:numPr>
        <w:numId w:val="12"/>
      </w:numPr>
      <w:contextualSpacing/>
    </w:pPr>
  </w:style>
  <w:style w:type="paragraph" w:styleId="ListNumber5">
    <w:name w:val="List Number 5"/>
    <w:basedOn w:val="Normal"/>
    <w:uiPriority w:val="99"/>
    <w:semiHidden/>
    <w:pPr>
      <w:numPr>
        <w:numId w:val="13"/>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pPr>
      <w:spacing w:after="0"/>
    </w:pPr>
  </w:style>
  <w:style w:type="character" w:customStyle="1" w:styleId="NoteHeadingChar">
    <w:name w:val="Note Heading Char"/>
    <w:basedOn w:val="DefaultParagraphFont"/>
    <w:link w:val="NoteHeading1"/>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42"/>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42"/>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4"/>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42"/>
    <w:semiHidden/>
    <w:pPr>
      <w:spacing w:after="100"/>
      <w:ind w:left="660"/>
    </w:pPr>
  </w:style>
  <w:style w:type="paragraph" w:styleId="TOC5">
    <w:name w:val="toc 5"/>
    <w:basedOn w:val="Normal"/>
    <w:next w:val="Normal"/>
    <w:autoRedefine/>
    <w:uiPriority w:val="42"/>
    <w:semiHidden/>
    <w:pPr>
      <w:spacing w:after="100"/>
      <w:ind w:left="880"/>
    </w:pPr>
  </w:style>
  <w:style w:type="paragraph" w:styleId="TOC6">
    <w:name w:val="toc 6"/>
    <w:basedOn w:val="Normal"/>
    <w:next w:val="Normal"/>
    <w:autoRedefine/>
    <w:uiPriority w:val="42"/>
    <w:semiHidden/>
    <w:pPr>
      <w:spacing w:after="100"/>
      <w:ind w:left="1100"/>
    </w:pPr>
  </w:style>
  <w:style w:type="paragraph" w:styleId="TOC7">
    <w:name w:val="toc 7"/>
    <w:basedOn w:val="Normal"/>
    <w:next w:val="Normal"/>
    <w:autoRedefine/>
    <w:uiPriority w:val="42"/>
    <w:semiHidden/>
    <w:pPr>
      <w:spacing w:after="100"/>
      <w:ind w:left="1320"/>
    </w:pPr>
  </w:style>
  <w:style w:type="paragraph" w:styleId="TOC8">
    <w:name w:val="toc 8"/>
    <w:basedOn w:val="Normal"/>
    <w:next w:val="Normal"/>
    <w:autoRedefine/>
    <w:uiPriority w:val="42"/>
    <w:semiHidden/>
    <w:pPr>
      <w:spacing w:after="100"/>
      <w:ind w:left="1540"/>
    </w:pPr>
  </w:style>
  <w:style w:type="paragraph" w:styleId="TOC9">
    <w:name w:val="toc 9"/>
    <w:basedOn w:val="Normal"/>
    <w:next w:val="Normal"/>
    <w:autoRedefine/>
    <w:uiPriority w:val="42"/>
    <w:semiHidden/>
    <w:pPr>
      <w:spacing w:after="100"/>
      <w:ind w:left="1760"/>
    </w:pPr>
  </w:style>
  <w:style w:type="numbering" w:customStyle="1" w:styleId="MListBullets">
    <w:name w:val="MList Bullets"/>
    <w:uiPriority w:val="99"/>
    <w:pPr>
      <w:numPr>
        <w:numId w:val="14"/>
      </w:numPr>
    </w:pPr>
  </w:style>
  <w:style w:type="numbering" w:customStyle="1" w:styleId="MListHeadingNumbering">
    <w:name w:val="MList Heading Numbering"/>
    <w:uiPriority w:val="99"/>
    <w:pPr>
      <w:numPr>
        <w:numId w:val="15"/>
      </w:numPr>
    </w:pPr>
  </w:style>
  <w:style w:type="numbering" w:customStyle="1" w:styleId="MListNumparaNumbering">
    <w:name w:val="MList Numpara Numbering"/>
    <w:uiPriority w:val="99"/>
    <w:pPr>
      <w:numPr>
        <w:numId w:val="16"/>
      </w:numPr>
    </w:pPr>
  </w:style>
  <w:style w:type="numbering" w:customStyle="1" w:styleId="MListSchHeadingNumbering">
    <w:name w:val="MList Sch Heading Numbering"/>
    <w:uiPriority w:val="99"/>
    <w:pPr>
      <w:numPr>
        <w:numId w:val="17"/>
      </w:numPr>
    </w:pPr>
  </w:style>
  <w:style w:type="paragraph" w:customStyle="1" w:styleId="FooterPageNumber">
    <w:name w:val="Footer Page Number"/>
    <w:basedOn w:val="Normal"/>
    <w:next w:val="Footer"/>
    <w:uiPriority w:val="39"/>
    <w:pPr>
      <w:spacing w:before="240" w:after="0"/>
      <w:jc w:val="center"/>
    </w:pPr>
  </w:style>
  <w:style w:type="paragraph" w:customStyle="1" w:styleId="Schedulenumberheading">
    <w:name w:val="Schedule number heading"/>
    <w:basedOn w:val="Normal"/>
    <w:next w:val="Normal"/>
    <w:uiPriority w:val="17"/>
    <w:qFormat/>
    <w:pPr>
      <w:numPr>
        <w:numId w:val="19"/>
      </w:numPr>
    </w:pPr>
    <w:rPr>
      <w:b/>
      <w:sz w:val="28"/>
    </w:rPr>
  </w:style>
  <w:style w:type="numbering" w:customStyle="1" w:styleId="MListSchedulenumberheading">
    <w:name w:val="MList Schedule number heading"/>
    <w:uiPriority w:val="99"/>
    <w:pPr>
      <w:numPr>
        <w:numId w:val="19"/>
      </w:numPr>
    </w:pPr>
  </w:style>
  <w:style w:type="paragraph" w:customStyle="1" w:styleId="Annexurenumberheading">
    <w:name w:val="Annexure number heading"/>
    <w:basedOn w:val="Normal"/>
    <w:next w:val="Normal"/>
    <w:uiPriority w:val="18"/>
    <w:qFormat/>
    <w:pPr>
      <w:numPr>
        <w:numId w:val="20"/>
      </w:numPr>
    </w:pPr>
    <w:rPr>
      <w:b/>
      <w:sz w:val="28"/>
    </w:rPr>
  </w:style>
  <w:style w:type="numbering" w:customStyle="1" w:styleId="MListAnnexureNumberHeading">
    <w:name w:val="MList Annexure Number Heading"/>
    <w:uiPriority w:val="99"/>
    <w:pPr>
      <w:numPr>
        <w:numId w:val="20"/>
      </w:numPr>
    </w:pPr>
  </w:style>
  <w:style w:type="paragraph" w:customStyle="1" w:styleId="Partnumberheading">
    <w:name w:val="Part number heading"/>
    <w:basedOn w:val="Normal"/>
    <w:next w:val="Normal"/>
    <w:uiPriority w:val="22"/>
    <w:qFormat/>
    <w:pPr>
      <w:numPr>
        <w:numId w:val="24"/>
      </w:numPr>
    </w:pPr>
    <w:rPr>
      <w:b/>
      <w:sz w:val="24"/>
    </w:rPr>
  </w:style>
  <w:style w:type="numbering" w:customStyle="1" w:styleId="MListPartnumberheading">
    <w:name w:val="MList Part number heading"/>
    <w:uiPriority w:val="99"/>
    <w:pPr>
      <w:numPr>
        <w:numId w:val="21"/>
      </w:numPr>
    </w:pPr>
  </w:style>
  <w:style w:type="paragraph" w:customStyle="1" w:styleId="Tablenumberheading">
    <w:name w:val="Table number heading"/>
    <w:basedOn w:val="Normal"/>
    <w:next w:val="Normal"/>
    <w:uiPriority w:val="24"/>
    <w:qFormat/>
    <w:pPr>
      <w:numPr>
        <w:numId w:val="22"/>
      </w:numPr>
    </w:pPr>
    <w:rPr>
      <w:b/>
    </w:rPr>
  </w:style>
  <w:style w:type="numbering" w:customStyle="1" w:styleId="MListTablenumberheading">
    <w:name w:val="MList Table number heading"/>
    <w:uiPriority w:val="99"/>
    <w:pPr>
      <w:numPr>
        <w:numId w:val="22"/>
      </w:numPr>
    </w:pPr>
  </w:style>
  <w:style w:type="table" w:customStyle="1" w:styleId="KLGatesdefaulttable1">
    <w:name w:val="K&amp;L Gates default table1"/>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ocID">
    <w:name w:val="DocID"/>
    <w:basedOn w:val="Footer"/>
    <w:next w:val="Footer"/>
    <w:link w:val="DocIDChar"/>
    <w:pPr>
      <w:spacing w:before="60" w:after="60"/>
      <w:jc w:val="left"/>
    </w:pPr>
    <w:rPr>
      <w:rFonts w:cs="Arial"/>
      <w:sz w:val="14"/>
      <w:lang w:eastAsia="zh-TW"/>
    </w:rPr>
  </w:style>
  <w:style w:type="character" w:customStyle="1" w:styleId="DocIDChar">
    <w:name w:val="DocID Char"/>
    <w:basedOn w:val="DefaultParagraphFont"/>
    <w:link w:val="DocID"/>
    <w:rPr>
      <w:rFonts w:eastAsia="Times New Roman" w:cs="Arial"/>
      <w:sz w:val="14"/>
      <w:szCs w:val="20"/>
      <w:lang w:val="en-AU" w:eastAsia="zh-TW"/>
    </w:rPr>
  </w:style>
  <w:style w:type="paragraph" w:customStyle="1" w:styleId="NoteHeading2">
    <w:name w:val="Note Heading2"/>
    <w:basedOn w:val="Normal"/>
    <w:next w:val="Normal"/>
    <w:link w:val="NoteHeadingChar1"/>
    <w:uiPriority w:val="99"/>
    <w:semiHidden/>
    <w:unhideWhenUsed/>
    <w:pPr>
      <w:spacing w:after="0"/>
    </w:pPr>
  </w:style>
  <w:style w:type="character" w:customStyle="1" w:styleId="NoteHeadingChar1">
    <w:name w:val="Note Heading Char1"/>
    <w:basedOn w:val="DefaultParagraphFont"/>
    <w:link w:val="NoteHeading2"/>
    <w:uiPriority w:val="99"/>
    <w:semiHidden/>
  </w:style>
  <w:style w:type="paragraph" w:styleId="NoteHeading">
    <w:name w:val="Note Heading"/>
    <w:basedOn w:val="Normal"/>
    <w:next w:val="Normal"/>
    <w:link w:val="NoteHeadingChar2"/>
    <w:uiPriority w:val="99"/>
    <w:semiHidden/>
    <w:unhideWhenUsed/>
    <w:pPr>
      <w:spacing w:after="0"/>
    </w:pPr>
  </w:style>
  <w:style w:type="character" w:customStyle="1" w:styleId="NoteHeadingChar2">
    <w:name w:val="Note Heading Char2"/>
    <w:basedOn w:val="DefaultParagraphFont"/>
    <w:link w:val="NoteHeading"/>
    <w:uiPriority w:val="99"/>
    <w:semiHidden/>
  </w:style>
  <w:style w:type="table" w:styleId="GridTable1Light">
    <w:name w:val="Grid Table 1 Light"/>
    <w:basedOn w:val="TableNorma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Char">
    <w:name w:val="bodytext2 Char"/>
    <w:link w:val="bodytext2"/>
    <w:uiPriority w:val="10"/>
  </w:style>
  <w:style w:type="paragraph" w:customStyle="1" w:styleId="AUScheme3L1">
    <w:name w:val="AUScheme3_L1"/>
    <w:basedOn w:val="Normal"/>
    <w:pPr>
      <w:keepNext/>
      <w:numPr>
        <w:numId w:val="25"/>
      </w:numPr>
      <w:spacing w:after="260" w:line="260" w:lineRule="atLeast"/>
      <w:jc w:val="left"/>
      <w:outlineLvl w:val="0"/>
    </w:pPr>
    <w:rPr>
      <w:rFonts w:eastAsia="Times New Roman" w:cs="Arial"/>
      <w:b/>
      <w:caps/>
      <w:szCs w:val="20"/>
    </w:rPr>
  </w:style>
  <w:style w:type="paragraph" w:customStyle="1" w:styleId="AUScheme3L2">
    <w:name w:val="AUScheme3_L2"/>
    <w:basedOn w:val="AUScheme3L1"/>
    <w:pPr>
      <w:numPr>
        <w:ilvl w:val="1"/>
      </w:numPr>
      <w:outlineLvl w:val="1"/>
    </w:pPr>
    <w:rPr>
      <w:caps w:val="0"/>
    </w:rPr>
  </w:style>
  <w:style w:type="paragraph" w:customStyle="1" w:styleId="AUScheme3L3">
    <w:name w:val="AUScheme3_L3"/>
    <w:basedOn w:val="AUScheme3L2"/>
    <w:link w:val="AUScheme3L3Char"/>
    <w:pPr>
      <w:keepNext w:val="0"/>
      <w:numPr>
        <w:ilvl w:val="2"/>
      </w:numPr>
      <w:outlineLvl w:val="2"/>
    </w:pPr>
    <w:rPr>
      <w:b w:val="0"/>
    </w:rPr>
  </w:style>
  <w:style w:type="character" w:customStyle="1" w:styleId="AUScheme3L3Char">
    <w:name w:val="AUScheme3_L3 Char"/>
    <w:link w:val="AUScheme3L3"/>
    <w:rPr>
      <w:rFonts w:eastAsia="Times New Roman" w:cs="Arial"/>
      <w:szCs w:val="20"/>
    </w:rPr>
  </w:style>
  <w:style w:type="paragraph" w:customStyle="1" w:styleId="AUScheme3L4">
    <w:name w:val="AUScheme3_L4"/>
    <w:basedOn w:val="AUScheme3L3"/>
    <w:link w:val="AUScheme3L4Char"/>
    <w:pPr>
      <w:numPr>
        <w:ilvl w:val="3"/>
      </w:numPr>
      <w:outlineLvl w:val="3"/>
    </w:pPr>
  </w:style>
  <w:style w:type="character" w:customStyle="1" w:styleId="AUScheme3L4Char">
    <w:name w:val="AUScheme3_L4 Char"/>
    <w:link w:val="AUScheme3L4"/>
    <w:rPr>
      <w:rFonts w:eastAsia="Times New Roman" w:cs="Arial"/>
      <w:szCs w:val="20"/>
    </w:rPr>
  </w:style>
  <w:style w:type="paragraph" w:customStyle="1" w:styleId="AUScheme3L5">
    <w:name w:val="AUScheme3_L5"/>
    <w:basedOn w:val="AUScheme3L4"/>
    <w:pPr>
      <w:numPr>
        <w:ilvl w:val="4"/>
      </w:numPr>
      <w:tabs>
        <w:tab w:val="clear" w:pos="2880"/>
        <w:tab w:val="num" w:pos="2722"/>
      </w:tabs>
      <w:ind w:left="2722" w:hanging="681"/>
      <w:outlineLvl w:val="4"/>
    </w:pPr>
  </w:style>
  <w:style w:type="paragraph" w:customStyle="1" w:styleId="AUScheme3L6">
    <w:name w:val="AUScheme3_L6"/>
    <w:basedOn w:val="AUScheme3L5"/>
    <w:pPr>
      <w:numPr>
        <w:ilvl w:val="5"/>
      </w:numPr>
      <w:tabs>
        <w:tab w:val="clear" w:pos="3600"/>
        <w:tab w:val="num" w:pos="2880"/>
      </w:tabs>
      <w:ind w:left="2880" w:hanging="360"/>
      <w:outlineLvl w:val="5"/>
    </w:pPr>
  </w:style>
  <w:style w:type="paragraph" w:customStyle="1" w:styleId="AUScheme3L7">
    <w:name w:val="AUScheme3_L7"/>
    <w:basedOn w:val="AUScheme3L6"/>
    <w:pPr>
      <w:numPr>
        <w:ilvl w:val="6"/>
      </w:numPr>
      <w:tabs>
        <w:tab w:val="clear" w:pos="720"/>
        <w:tab w:val="num" w:pos="3600"/>
      </w:tabs>
      <w:ind w:left="3600" w:firstLine="0"/>
      <w:outlineLvl w:val="6"/>
    </w:pPr>
  </w:style>
  <w:style w:type="paragraph" w:customStyle="1" w:styleId="AUScheme3L8">
    <w:name w:val="AUScheme3_L8"/>
    <w:basedOn w:val="AUScheme3L7"/>
    <w:pPr>
      <w:numPr>
        <w:ilvl w:val="7"/>
      </w:numPr>
      <w:tabs>
        <w:tab w:val="clear" w:pos="1440"/>
        <w:tab w:val="num" w:pos="720"/>
      </w:tabs>
      <w:ind w:left="720" w:firstLine="0"/>
      <w:outlineLvl w:val="7"/>
    </w:pPr>
  </w:style>
  <w:style w:type="paragraph" w:customStyle="1" w:styleId="AUScheme3L9">
    <w:name w:val="AUScheme3_L9"/>
    <w:basedOn w:val="AUScheme3L8"/>
    <w:pPr>
      <w:numPr>
        <w:ilvl w:val="8"/>
      </w:numPr>
      <w:tabs>
        <w:tab w:val="clear" w:pos="2160"/>
        <w:tab w:val="num" w:pos="1440"/>
        <w:tab w:val="num" w:pos="2041"/>
      </w:tabs>
      <w:ind w:left="1440" w:firstLine="0"/>
      <w:outlineLvl w:val="8"/>
    </w:pPr>
  </w:style>
  <w:style w:type="paragraph" w:styleId="Revision">
    <w:name w:val="Revision"/>
    <w:hidden/>
    <w:uiPriority w:val="99"/>
    <w:semiHidden/>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5842">
      <w:bodyDiv w:val="1"/>
      <w:marLeft w:val="0"/>
      <w:marRight w:val="0"/>
      <w:marTop w:val="0"/>
      <w:marBottom w:val="0"/>
      <w:divBdr>
        <w:top w:val="none" w:sz="0" w:space="0" w:color="auto"/>
        <w:left w:val="none" w:sz="0" w:space="0" w:color="auto"/>
        <w:bottom w:val="none" w:sz="0" w:space="0" w:color="auto"/>
        <w:right w:val="none" w:sz="0" w:space="0" w:color="auto"/>
      </w:divBdr>
    </w:div>
    <w:div w:id="209347503">
      <w:bodyDiv w:val="1"/>
      <w:marLeft w:val="0"/>
      <w:marRight w:val="0"/>
      <w:marTop w:val="0"/>
      <w:marBottom w:val="0"/>
      <w:divBdr>
        <w:top w:val="none" w:sz="0" w:space="0" w:color="auto"/>
        <w:left w:val="none" w:sz="0" w:space="0" w:color="auto"/>
        <w:bottom w:val="none" w:sz="0" w:space="0" w:color="auto"/>
        <w:right w:val="none" w:sz="0" w:space="0" w:color="auto"/>
      </w:divBdr>
    </w:div>
    <w:div w:id="304244401">
      <w:bodyDiv w:val="1"/>
      <w:marLeft w:val="0"/>
      <w:marRight w:val="0"/>
      <w:marTop w:val="0"/>
      <w:marBottom w:val="0"/>
      <w:divBdr>
        <w:top w:val="none" w:sz="0" w:space="0" w:color="auto"/>
        <w:left w:val="none" w:sz="0" w:space="0" w:color="auto"/>
        <w:bottom w:val="none" w:sz="0" w:space="0" w:color="auto"/>
        <w:right w:val="none" w:sz="0" w:space="0" w:color="auto"/>
      </w:divBdr>
    </w:div>
    <w:div w:id="1645161916">
      <w:bodyDiv w:val="1"/>
      <w:marLeft w:val="0"/>
      <w:marRight w:val="0"/>
      <w:marTop w:val="0"/>
      <w:marBottom w:val="0"/>
      <w:divBdr>
        <w:top w:val="none" w:sz="0" w:space="0" w:color="auto"/>
        <w:left w:val="none" w:sz="0" w:space="0" w:color="auto"/>
        <w:bottom w:val="none" w:sz="0" w:space="0" w:color="auto"/>
        <w:right w:val="none" w:sz="0" w:space="0" w:color="auto"/>
      </w:divBdr>
    </w:div>
    <w:div w:id="1654990017">
      <w:bodyDiv w:val="1"/>
      <w:marLeft w:val="0"/>
      <w:marRight w:val="0"/>
      <w:marTop w:val="0"/>
      <w:marBottom w:val="0"/>
      <w:divBdr>
        <w:top w:val="none" w:sz="0" w:space="0" w:color="auto"/>
        <w:left w:val="none" w:sz="0" w:space="0" w:color="auto"/>
        <w:bottom w:val="none" w:sz="0" w:space="0" w:color="auto"/>
        <w:right w:val="none" w:sz="0" w:space="0" w:color="auto"/>
      </w:divBdr>
    </w:div>
    <w:div w:id="1786463268">
      <w:bodyDiv w:val="1"/>
      <w:marLeft w:val="0"/>
      <w:marRight w:val="0"/>
      <w:marTop w:val="0"/>
      <w:marBottom w:val="0"/>
      <w:divBdr>
        <w:top w:val="none" w:sz="0" w:space="0" w:color="auto"/>
        <w:left w:val="none" w:sz="0" w:space="0" w:color="auto"/>
        <w:bottom w:val="none" w:sz="0" w:space="0" w:color="auto"/>
        <w:right w:val="none" w:sz="0" w:space="0" w:color="auto"/>
      </w:divBdr>
    </w:div>
    <w:div w:id="1877811789">
      <w:bodyDiv w:val="1"/>
      <w:marLeft w:val="0"/>
      <w:marRight w:val="0"/>
      <w:marTop w:val="0"/>
      <w:marBottom w:val="0"/>
      <w:divBdr>
        <w:top w:val="none" w:sz="0" w:space="0" w:color="auto"/>
        <w:left w:val="none" w:sz="0" w:space="0" w:color="auto"/>
        <w:bottom w:val="none" w:sz="0" w:space="0" w:color="auto"/>
        <w:right w:val="none" w:sz="0" w:space="0" w:color="auto"/>
      </w:divBdr>
    </w:div>
    <w:div w:id="2051299805">
      <w:bodyDiv w:val="1"/>
      <w:marLeft w:val="0"/>
      <w:marRight w:val="0"/>
      <w:marTop w:val="0"/>
      <w:marBottom w:val="0"/>
      <w:divBdr>
        <w:top w:val="none" w:sz="0" w:space="0" w:color="auto"/>
        <w:left w:val="none" w:sz="0" w:space="0" w:color="auto"/>
        <w:bottom w:val="none" w:sz="0" w:space="0" w:color="auto"/>
        <w:right w:val="none" w:sz="0" w:space="0" w:color="auto"/>
      </w:divBdr>
    </w:div>
    <w:div w:id="20898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971F-1D29-4D66-A673-0FF15C79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CTC - Folklore Side Letter - HSF Amedments</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 Folklore Side Letter - HSF Amedments</dc:title>
  <dc:creator>LegalVision</dc:creator>
  <cp:lastModifiedBy>K&amp;L Gates</cp:lastModifiedBy>
  <cp:revision>4</cp:revision>
  <cp:lastPrinted>2023-09-18T01:23:00Z</cp:lastPrinted>
  <dcterms:created xsi:type="dcterms:W3CDTF">2023-10-25T22:34:00Z</dcterms:created>
  <dcterms:modified xsi:type="dcterms:W3CDTF">2023-11-01T02:47:00Z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914225905v1 LESLIES</vt:lpwstr>
  </property>
  <property fmtid="{D5CDD505-2E9C-101B-9397-08002B2CF9AE}" pid="3" name="Item Previous Reference">
    <vt:lpwstr/>
  </property>
  <property fmtid="{D5CDD505-2E9C-101B-9397-08002B2CF9AE}" pid="4" name="Item Reference">
    <vt:lpwstr/>
  </property>
  <property fmtid="{D5CDD505-2E9C-101B-9397-08002B2CF9AE}" pid="5" name="DMS Item ID">
    <vt:lpwstr>104442686</vt:lpwstr>
  </property>
  <property fmtid="{D5CDD505-2E9C-101B-9397-08002B2CF9AE}" pid="6" name="DMS Library Name">
    <vt:lpwstr>ACTIVE</vt:lpwstr>
  </property>
  <property fmtid="{D5CDD505-2E9C-101B-9397-08002B2CF9AE}" pid="7" name="DMS Version">
    <vt:lpwstr>1</vt:lpwstr>
  </property>
</Properties>
</file>